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W w:w="8079" w:type="dxa"/>
        <w:tblInd w:w="993" w:type="dxa"/>
        <w:tblLayout w:type="fixed"/>
        <w:tblCellMar>
          <w:left w:w="115" w:type="dxa"/>
          <w:right w:w="115" w:type="dxa"/>
        </w:tblCellMar>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Buyer’s obligations to supply information for parliamentary, ministerial, judicial or administrative purposes </w:t>
            </w:r>
            <w:r>
              <w:rPr>
                <w:rFonts w:ascii="Arial" w:eastAsia="Arial" w:hAnsi="Arial" w:cs="Arial"/>
                <w:color w:val="000000"/>
                <w:sz w:val="24"/>
                <w:szCs w:val="24"/>
              </w:rPr>
              <w:lastRenderedPageBreak/>
              <w:t>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w:t>
            </w:r>
            <w:r>
              <w:rPr>
                <w:rFonts w:ascii="Arial" w:eastAsia="Arial" w:hAnsi="Arial" w:cs="Arial"/>
                <w:color w:val="000000"/>
                <w:sz w:val="24"/>
                <w:szCs w:val="24"/>
              </w:rPr>
              <w:lastRenderedPageBreak/>
              <w:t xml:space="preserve">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50B0F0E9" w14:textId="77777777" w:rsidTr="002C4779">
        <w:tc>
          <w:tcPr>
            <w:tcW w:w="2263" w:type="dxa"/>
          </w:tcPr>
          <w:p w14:paraId="0000004B" w14:textId="008E0BE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Existing IPR</w:t>
            </w:r>
            <w:r>
              <w:rPr>
                <w:rFonts w:ascii="Arial" w:eastAsia="Arial" w:hAnsi="Arial" w:cs="Arial"/>
                <w:b/>
                <w:color w:val="000000"/>
                <w:sz w:val="24"/>
                <w:szCs w:val="24"/>
              </w:rPr>
              <w:t>"</w:t>
            </w:r>
          </w:p>
        </w:tc>
        <w:tc>
          <w:tcPr>
            <w:tcW w:w="5816" w:type="dxa"/>
          </w:tcPr>
          <w:p w14:paraId="0000004C" w14:textId="38B328C1" w:rsidR="00C9157A" w:rsidRDefault="00FA3BA7" w:rsidP="00BB5AFE">
            <w:pPr>
              <w:keepNext/>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and all IPR that are owned by or licensed to the Buyer, and where the Buyer is a Crown Body, any Crown IPR,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r w:rsidR="00386A55">
              <w:rPr>
                <w:rFonts w:ascii="Arial" w:eastAsia="Arial" w:hAnsi="Arial" w:cs="Arial"/>
                <w:color w:val="000000"/>
                <w:sz w:val="24"/>
                <w:szCs w:val="24"/>
              </w:rPr>
              <w:t>;</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the cost to the Supplier or the Key Subcontractor (as the context requires), 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Welsh Government), including government ministers and government departments and particular bodies, persons, commissions or </w:t>
            </w:r>
            <w:r>
              <w:rPr>
                <w:rFonts w:ascii="Arial" w:eastAsia="Arial" w:hAnsi="Arial" w:cs="Arial"/>
                <w:color w:val="000000"/>
                <w:sz w:val="24"/>
                <w:szCs w:val="24"/>
              </w:rPr>
              <w:lastRenderedPageBreak/>
              <w:t>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w:t>
            </w:r>
            <w:r>
              <w:rPr>
                <w:rFonts w:ascii="Arial" w:eastAsia="Arial" w:hAnsi="Arial" w:cs="Arial"/>
                <w:color w:val="000000"/>
                <w:sz w:val="24"/>
                <w:szCs w:val="24"/>
              </w:rPr>
              <w:lastRenderedPageBreak/>
              <w:t xml:space="preserve">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FDE Group entity issues a profits warning to a stock exchange or makes any other public announcement, in each case </w:t>
            </w:r>
            <w:r>
              <w:rPr>
                <w:rFonts w:ascii="Arial" w:eastAsia="Arial" w:hAnsi="Arial" w:cs="Arial"/>
                <w:color w:val="000000"/>
                <w:sz w:val="24"/>
                <w:szCs w:val="24"/>
              </w:rPr>
              <w:lastRenderedPageBreak/>
              <w:t>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directors and/or external auditors of any FDE Group entity conclude that a material uncertainty exists in relation to that FDE Group entity’s going concern in the annual report</w:t>
            </w:r>
            <w:r>
              <w:rPr>
                <w:rFonts w:ascii="Arial" w:eastAsia="Arial" w:hAnsi="Arial" w:cs="Arial"/>
                <w:color w:val="000000"/>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FDE Group entity makes a public announcement which contains commentary with regards to that FDE Group entity’s liquidity </w:t>
            </w:r>
            <w:r>
              <w:rPr>
                <w:rFonts w:ascii="Arial" w:eastAsia="Arial" w:hAnsi="Arial" w:cs="Arial"/>
                <w:color w:val="000000"/>
                <w:sz w:val="24"/>
                <w:szCs w:val="24"/>
              </w:rPr>
              <w:lastRenderedPageBreak/>
              <w:t>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4F132CB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and any subordinate legislation made under that Act from </w:t>
            </w:r>
            <w:r>
              <w:rPr>
                <w:rFonts w:ascii="Arial" w:eastAsia="Arial" w:hAnsi="Arial" w:cs="Arial"/>
                <w:color w:val="000000"/>
                <w:sz w:val="24"/>
                <w:szCs w:val="24"/>
              </w:rPr>
              <w:lastRenderedPageBreak/>
              <w:t>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lastRenderedPageBreak/>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ongoing costs required by the proposed Variation when implemented, including any increase or decrease in the </w:t>
            </w:r>
            <w:r>
              <w:rPr>
                <w:rFonts w:ascii="Arial" w:eastAsia="Arial" w:hAnsi="Arial" w:cs="Arial"/>
                <w:color w:val="000000"/>
                <w:sz w:val="24"/>
                <w:szCs w:val="24"/>
              </w:rPr>
              <w:lastRenderedPageBreak/>
              <w:t>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w:t>
            </w:r>
            <w:r>
              <w:rPr>
                <w:rFonts w:ascii="Arial" w:eastAsia="Arial" w:hAnsi="Arial" w:cs="Arial"/>
                <w:color w:val="000000"/>
                <w:sz w:val="24"/>
                <w:szCs w:val="24"/>
              </w:rPr>
              <w:lastRenderedPageBreak/>
              <w:t xml:space="preserve">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w:t>
            </w:r>
            <w:r>
              <w:rPr>
                <w:rFonts w:ascii="Arial" w:eastAsia="Arial" w:hAnsi="Arial" w:cs="Arial"/>
                <w:color w:val="000000"/>
                <w:sz w:val="24"/>
                <w:szCs w:val="24"/>
              </w:rPr>
              <w:lastRenderedPageBreak/>
              <w:t xml:space="preserve">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(being a company or an LLP) the holder of a qualifying floating charge over the assets of that person has become entitled to appoint or has 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bookmarkStart w:id="9" w:name="_Ref141103044"/>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w:t>
            </w:r>
            <w:r>
              <w:rPr>
                <w:rFonts w:ascii="Arial" w:eastAsia="Arial" w:hAnsi="Arial" w:cs="Arial"/>
                <w:color w:val="000000"/>
                <w:sz w:val="24"/>
                <w:szCs w:val="24"/>
              </w:rPr>
              <w:lastRenderedPageBreak/>
              <w:t>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rPr>
                <w:rFonts w:ascii="Arial" w:eastAsia="Arial" w:hAnsi="Arial" w:cs="Arial"/>
                <w:b/>
                <w:color w:val="000000"/>
                <w:sz w:val="24"/>
                <w:szCs w:val="24"/>
              </w:rPr>
            </w:pPr>
            <w:r>
              <w:rPr>
                <w:rFonts w:ascii="Arial" w:eastAsia="Arial" w:hAnsi="Arial" w:cs="Arial"/>
                <w:b/>
                <w:color w:val="000000"/>
                <w:sz w:val="24"/>
                <w:szCs w:val="24"/>
              </w:rPr>
              <w:lastRenderedPageBreak/>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02AE8779" w14:textId="77777777" w:rsidTr="002C4779">
        <w:tc>
          <w:tcPr>
            <w:tcW w:w="2263" w:type="dxa"/>
          </w:tcPr>
          <w:p w14:paraId="00000199" w14:textId="4E15017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"New IPR"</w:t>
            </w:r>
          </w:p>
        </w:tc>
        <w:tc>
          <w:tcPr>
            <w:tcW w:w="5816" w:type="dxa"/>
          </w:tcPr>
          <w:p w14:paraId="0000019A" w14:textId="321479FE" w:rsidR="00386A55" w:rsidRDefault="00386A55" w:rsidP="00386A55">
            <w:pPr>
              <w:numPr>
                <w:ilvl w:val="0"/>
                <w:numId w:val="49"/>
              </w:numPr>
              <w:pBdr>
                <w:top w:val="nil"/>
                <w:left w:val="nil"/>
                <w:bottom w:val="nil"/>
                <w:right w:val="nil"/>
                <w:between w:val="nil"/>
              </w:pBdr>
              <w:spacing w:before="100"/>
              <w:ind w:hanging="541"/>
              <w:rPr>
                <w:rFonts w:ascii="Arial" w:eastAsia="Arial" w:hAnsi="Arial" w:cs="Arial"/>
                <w:color w:val="000000"/>
                <w:sz w:val="24"/>
                <w:szCs w:val="24"/>
              </w:rPr>
            </w:pPr>
            <w:r>
              <w:rPr>
                <w:rFonts w:ascii="Arial" w:eastAsia="Arial" w:hAnsi="Arial" w:cs="Arial"/>
                <w:color w:val="000000"/>
                <w:sz w:val="24"/>
                <w:szCs w:val="24"/>
              </w:rPr>
              <w:t xml:space="preserve">IPR in items created by the Supplier (or by a third party on behalf of the Supplier) specifically for the purposes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updates and amendments of these items including database schema; and/or</w:t>
            </w:r>
          </w:p>
          <w:p w14:paraId="0000019B" w14:textId="5698E4A8" w:rsidR="00386A55" w:rsidRDefault="00386A55" w:rsidP="00386A55">
            <w:pPr>
              <w:numPr>
                <w:ilvl w:val="0"/>
                <w:numId w:val="49"/>
              </w:numPr>
              <w:pBdr>
                <w:top w:val="nil"/>
                <w:left w:val="nil"/>
                <w:bottom w:val="nil"/>
                <w:right w:val="nil"/>
                <w:between w:val="nil"/>
              </w:pBdr>
              <w:spacing w:before="100"/>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all updates and amendments to the same; </w:t>
            </w:r>
          </w:p>
          <w:p w14:paraId="0000019C" w14:textId="60CF2F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but shall not include the Supplier’s Existing IPR; </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the failure of an avoidance scheme which the Supplier was involved in, and which was, or should have been, notified to a Relevant Tax Authority </w:t>
            </w:r>
            <w:r>
              <w:rPr>
                <w:rFonts w:ascii="Arial" w:eastAsia="Arial" w:hAnsi="Arial" w:cs="Arial"/>
                <w:color w:val="000000"/>
                <w:sz w:val="24"/>
                <w:szCs w:val="24"/>
              </w:rPr>
              <w:lastRenderedPageBreak/>
              <w:t>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12">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3">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4">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 xml:space="preserve">including pseudonymising and encrypting Personal Data, </w:t>
            </w:r>
            <w:r>
              <w:rPr>
                <w:rFonts w:ascii="Arial" w:eastAsia="Arial" w:hAnsi="Arial" w:cs="Arial"/>
                <w:color w:val="000000"/>
                <w:sz w:val="24"/>
                <w:szCs w:val="24"/>
              </w:rPr>
              <w:lastRenderedPageBreak/>
              <w:t>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service levels applicable to the provision of the Deliverables under this Contract (which, where </w:t>
            </w:r>
            <w:r>
              <w:rPr>
                <w:rFonts w:ascii="Arial" w:eastAsia="Arial" w:hAnsi="Arial" w:cs="Arial"/>
                <w:color w:val="000000"/>
                <w:sz w:val="24"/>
                <w:szCs w:val="24"/>
              </w:rPr>
              <w:lastRenderedPageBreak/>
              <w:t>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353CD499" w14:textId="77777777" w:rsidTr="002C4779">
        <w:tc>
          <w:tcPr>
            <w:tcW w:w="2263" w:type="dxa"/>
          </w:tcPr>
          <w:p w14:paraId="0478FDA9" w14:textId="1FB71A1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tcPr>
          <w:p w14:paraId="30A7ED06" w14:textId="7AB6542F" w:rsidR="000F7B87" w:rsidRDefault="003C5AE1"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sidRPr="003C5AE1">
              <w:rPr>
                <w:rFonts w:ascii="Arial" w:eastAsia="Arial" w:hAnsi="Arial" w:cs="Arial"/>
                <w:color w:val="000000"/>
                <w:sz w:val="24"/>
                <w:szCs w:val="24"/>
              </w:rPr>
              <w:t>means a licence to be offered by the Supplier to the New IPR and Supplier Existing IPR as set out in Schedule 36 (Intellectual Property Rights);</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in relation to a period, the difference between the total Charges (in nominal cash flow terms but excluding any Deductions and total Costs (in </w:t>
            </w:r>
            <w:r>
              <w:rPr>
                <w:rFonts w:ascii="Arial" w:eastAsia="Arial" w:hAnsi="Arial" w:cs="Arial"/>
                <w:color w:val="000000"/>
                <w:sz w:val="24"/>
                <w:szCs w:val="24"/>
              </w:rPr>
              <w:lastRenderedPageBreak/>
              <w:t>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person identified in the Award Form appointed by the Supplier to oversee the operation of this Contract and any alternative person whom the Supplier intends to appoint to the role, provided </w:t>
            </w:r>
            <w:r>
              <w:rPr>
                <w:rFonts w:ascii="Arial" w:eastAsia="Arial" w:hAnsi="Arial" w:cs="Arial"/>
                <w:color w:val="000000"/>
                <w:sz w:val="24"/>
                <w:szCs w:val="24"/>
              </w:rPr>
              <w:lastRenderedPageBreak/>
              <w:t>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872A" w14:textId="77777777" w:rsidR="009F7EAB" w:rsidRDefault="009F7EAB">
      <w:pPr>
        <w:spacing w:after="0" w:line="240" w:lineRule="auto"/>
      </w:pPr>
      <w:r>
        <w:separator/>
      </w:r>
    </w:p>
  </w:endnote>
  <w:endnote w:type="continuationSeparator" w:id="0">
    <w:p w14:paraId="6243294A" w14:textId="77777777" w:rsidR="009F7EAB" w:rsidRDefault="009F7EAB">
      <w:pPr>
        <w:spacing w:after="0" w:line="240" w:lineRule="auto"/>
      </w:pPr>
      <w:r>
        <w:continuationSeparator/>
      </w:r>
    </w:p>
  </w:endnote>
  <w:endnote w:type="continuationNotice" w:id="1">
    <w:p w14:paraId="570A22E2" w14:textId="77777777" w:rsidR="009F7EAB" w:rsidRDefault="009F7E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41BB" w14:textId="65F51F80" w:rsidR="003C2503" w:rsidRDefault="00767163">
    <w:pPr>
      <w:pStyle w:val="Footer"/>
    </w:pPr>
    <w:r>
      <w:rPr>
        <w:noProof/>
      </w:rPr>
      <mc:AlternateContent>
        <mc:Choice Requires="wps">
          <w:drawing>
            <wp:anchor distT="0" distB="0" distL="0" distR="0" simplePos="0" relativeHeight="251658244" behindDoc="0" locked="0" layoutInCell="1" allowOverlap="1" wp14:anchorId="07C66425" wp14:editId="30DB2785">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18D8FE" w14:textId="58495F6A"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C66425" id="_x0000_t202" coordsize="21600,21600" o:spt="202" path="m,l,21600r21600,l21600,xe">
              <v:stroke joinstyle="miter"/>
              <v:path gradientshapeok="t" o:connecttype="rect"/>
            </v:shapetype>
            <v:shape id="Text Box 11" o:spid="_x0000_s1028"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418D8FE" w14:textId="58495F6A"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98DDC" w14:textId="10FE9FF2" w:rsidR="00222087" w:rsidRPr="00222087" w:rsidRDefault="00767163" w:rsidP="00222087">
    <w:pPr>
      <w:suppressAutoHyphens/>
      <w:spacing w:after="0" w:line="240" w:lineRule="auto"/>
      <w:jc w:val="both"/>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5" behindDoc="0" locked="0" layoutInCell="1" allowOverlap="1" wp14:anchorId="134AB3B9" wp14:editId="49B54284">
              <wp:simplePos x="914400" y="9734550"/>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3DE91F" w14:textId="43251D82"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4AB3B9" id="_x0000_t202" coordsize="21600,21600" o:spt="202" path="m,l,21600r21600,l21600,xe">
              <v:stroke joinstyle="miter"/>
              <v:path gradientshapeok="t" o:connecttype="rect"/>
            </v:shapetype>
            <v:shape id="Text Box 12" o:spid="_x0000_s1029" type="#_x0000_t202" alt="OFFICIAL-SENSITIVE"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53DE91F" w14:textId="43251D82"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v:textbox>
              <w10:wrap anchorx="page" anchory="page"/>
            </v:shape>
          </w:pict>
        </mc:Fallback>
      </mc:AlternateContent>
    </w:r>
    <w:r w:rsidR="00222087" w:rsidRPr="00222087">
      <w:rPr>
        <w:rFonts w:ascii="Arial" w:eastAsia="Arial" w:hAnsi="Arial" w:cs="Arial"/>
        <w:sz w:val="20"/>
        <w:szCs w:val="20"/>
      </w:rPr>
      <w:t>DLUHC Ref: 4/126/207</w:t>
    </w:r>
  </w:p>
  <w:p w14:paraId="5447A94F" w14:textId="4CBA5D5E" w:rsidR="002C4779" w:rsidRDefault="00222087" w:rsidP="002C4779">
    <w:pPr>
      <w:tabs>
        <w:tab w:val="right" w:pos="9026"/>
      </w:tabs>
      <w:spacing w:after="0"/>
    </w:pPr>
    <w:r w:rsidRPr="00222087">
      <w:rPr>
        <w:rFonts w:ascii="Arial" w:eastAsia="Arial" w:hAnsi="Arial" w:cs="Arial"/>
        <w:sz w:val="20"/>
        <w:szCs w:val="20"/>
      </w:rPr>
      <w:t>Provision of Neighbourhood Planning Grant Administration Programme</w:t>
    </w:r>
    <w:sdt>
      <w:sdtPr>
        <w:id w:val="-2024391184"/>
        <w:docPartObj>
          <w:docPartGallery w:val="Page Numbers (Bottom of Page)"/>
          <w:docPartUnique/>
        </w:docPartObj>
      </w:sdtPr>
      <w:sdtEndPr>
        <w:rPr>
          <w:noProof/>
        </w:rPr>
      </w:sdtEndPr>
      <w:sdtContent>
        <w:r w:rsidR="001945C1">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sdtContent>
    </w:sdt>
  </w:p>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473BFCB1" w:rsidR="00C9157A" w:rsidRDefault="00767163">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3" behindDoc="0" locked="0" layoutInCell="1" allowOverlap="1" wp14:anchorId="6359ECF6" wp14:editId="717B7A38">
              <wp:simplePos x="635" y="635"/>
              <wp:positionH relativeFrom="page">
                <wp:align>center</wp:align>
              </wp:positionH>
              <wp:positionV relativeFrom="page">
                <wp:align>bottom</wp:align>
              </wp:positionV>
              <wp:extent cx="443865" cy="443865"/>
              <wp:effectExtent l="0" t="0" r="952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A815EF" w14:textId="7D5E6A88"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59ECF6" id="_x0000_t202" coordsize="21600,21600" o:spt="202" path="m,l,21600r21600,l21600,xe">
              <v:stroke joinstyle="miter"/>
              <v:path gradientshapeok="t" o:connecttype="rect"/>
            </v:shapetype>
            <v:shape id="Text Box 10" o:spid="_x0000_s1031"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5AA815EF" w14:textId="7D5E6A88"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v:textbox>
              <w10:wrap anchorx="page" anchory="pag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000000">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106E5" w14:textId="77777777" w:rsidR="009F7EAB" w:rsidRDefault="009F7EAB">
      <w:pPr>
        <w:spacing w:after="0" w:line="240" w:lineRule="auto"/>
      </w:pPr>
      <w:r>
        <w:separator/>
      </w:r>
    </w:p>
  </w:footnote>
  <w:footnote w:type="continuationSeparator" w:id="0">
    <w:p w14:paraId="1E13567A" w14:textId="77777777" w:rsidR="009F7EAB" w:rsidRDefault="009F7EAB">
      <w:pPr>
        <w:spacing w:after="0" w:line="240" w:lineRule="auto"/>
      </w:pPr>
      <w:r>
        <w:continuationSeparator/>
      </w:r>
    </w:p>
  </w:footnote>
  <w:footnote w:type="continuationNotice" w:id="1">
    <w:p w14:paraId="1EB6BDA0" w14:textId="77777777" w:rsidR="009F7EAB" w:rsidRDefault="009F7E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B9FD" w14:textId="2EC22234" w:rsidR="003C2503" w:rsidRDefault="00767163">
    <w:pPr>
      <w:pStyle w:val="Header"/>
    </w:pPr>
    <w:r>
      <w:rPr>
        <w:noProof/>
      </w:rPr>
      <mc:AlternateContent>
        <mc:Choice Requires="wps">
          <w:drawing>
            <wp:anchor distT="0" distB="0" distL="0" distR="0" simplePos="0" relativeHeight="251658241" behindDoc="0" locked="0" layoutInCell="1" allowOverlap="1" wp14:anchorId="68A6FB6E" wp14:editId="6D0A706F">
              <wp:simplePos x="635" y="635"/>
              <wp:positionH relativeFrom="page">
                <wp:align>center</wp:align>
              </wp:positionH>
              <wp:positionV relativeFrom="page">
                <wp:align>top</wp:align>
              </wp:positionV>
              <wp:extent cx="443865" cy="443865"/>
              <wp:effectExtent l="0" t="0" r="9525" b="12065"/>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6D6983" w14:textId="7F758454"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A6FB6E" id="_x0000_t202" coordsize="21600,21600" o:spt="202" path="m,l,21600r21600,l21600,xe">
              <v:stroke joinstyle="miter"/>
              <v:path gradientshapeok="t" o:connecttype="rect"/>
            </v:shapetype>
            <v:shape id="Text Box 8" o:spid="_x0000_s1026"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B6D6983" w14:textId="7F758454"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399F9BB9" w:rsidR="00BB5AFE" w:rsidRPr="001945C1" w:rsidRDefault="00767163"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2" behindDoc="0" locked="0" layoutInCell="1" allowOverlap="1" wp14:anchorId="3B25E0C6" wp14:editId="17C04075">
              <wp:simplePos x="914400" y="447675"/>
              <wp:positionH relativeFrom="page">
                <wp:align>center</wp:align>
              </wp:positionH>
              <wp:positionV relativeFrom="page">
                <wp:align>top</wp:align>
              </wp:positionV>
              <wp:extent cx="443865" cy="443865"/>
              <wp:effectExtent l="0" t="0" r="9525" b="12065"/>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BCDC27" w14:textId="3E56B263"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25E0C6" id="_x0000_t202" coordsize="21600,21600" o:spt="202" path="m,l,21600r21600,l21600,xe">
              <v:stroke joinstyle="miter"/>
              <v:path gradientshapeok="t" o:connecttype="rect"/>
            </v:shapetype>
            <v:shape id="Text Box 9" o:spid="_x0000_s1027"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EBCDC27" w14:textId="3E56B263"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v:textbox>
              <w10:wrap anchorx="page" anchory="page"/>
            </v:shape>
          </w:pict>
        </mc:Fallback>
      </mc:AlternateContent>
    </w:r>
    <w:r w:rsidR="00FA3BA7"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00FA3BA7"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sidR="00BB5AFE" w:rsidRPr="001945C1">
      <w:rPr>
        <w:rFonts w:ascii="Arial" w:eastAsia="Arial" w:hAnsi="Arial" w:cs="Arial"/>
        <w:bCs/>
        <w:color w:val="000000"/>
        <w:sz w:val="20"/>
        <w:szCs w:val="20"/>
      </w:rPr>
      <w:t>[Subject to Contract]</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057B9022" w:rsidR="00C9157A" w:rsidRDefault="00767163">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70551B00" wp14:editId="17A75AF9">
              <wp:simplePos x="635" y="635"/>
              <wp:positionH relativeFrom="page">
                <wp:align>center</wp:align>
              </wp:positionH>
              <wp:positionV relativeFrom="page">
                <wp:align>top</wp:align>
              </wp:positionV>
              <wp:extent cx="443865" cy="443865"/>
              <wp:effectExtent l="0" t="0" r="9525" b="12065"/>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585D9C" w14:textId="410BD462"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551B00" id="_x0000_t202" coordsize="21600,21600" o:spt="202" path="m,l,21600r21600,l21600,xe">
              <v:stroke joinstyle="miter"/>
              <v:path gradientshapeok="t" o:connecttype="rect"/>
            </v:shapetype>
            <v:shape id="Text Box 7"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08585D9C" w14:textId="410BD462" w:rsidR="00767163" w:rsidRPr="00767163" w:rsidRDefault="00767163" w:rsidP="00767163">
                    <w:pPr>
                      <w:spacing w:after="0"/>
                      <w:rPr>
                        <w:noProof/>
                        <w:color w:val="000000"/>
                        <w:sz w:val="20"/>
                        <w:szCs w:val="20"/>
                      </w:rPr>
                    </w:pPr>
                    <w:r w:rsidRPr="00767163">
                      <w:rPr>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473C7"/>
    <w:rsid w:val="00072BC5"/>
    <w:rsid w:val="000C4FB0"/>
    <w:rsid w:val="000F7B87"/>
    <w:rsid w:val="00132950"/>
    <w:rsid w:val="001945C1"/>
    <w:rsid w:val="001E0DEF"/>
    <w:rsid w:val="00205D1C"/>
    <w:rsid w:val="00222087"/>
    <w:rsid w:val="002547C5"/>
    <w:rsid w:val="00283C69"/>
    <w:rsid w:val="002C4779"/>
    <w:rsid w:val="00374B8C"/>
    <w:rsid w:val="00386A55"/>
    <w:rsid w:val="003C2503"/>
    <w:rsid w:val="003C5AE1"/>
    <w:rsid w:val="004525FA"/>
    <w:rsid w:val="0047635C"/>
    <w:rsid w:val="004D417A"/>
    <w:rsid w:val="0051350C"/>
    <w:rsid w:val="00532C8B"/>
    <w:rsid w:val="00575076"/>
    <w:rsid w:val="0057554F"/>
    <w:rsid w:val="005A07D7"/>
    <w:rsid w:val="0067323E"/>
    <w:rsid w:val="00723B30"/>
    <w:rsid w:val="00767163"/>
    <w:rsid w:val="0087019C"/>
    <w:rsid w:val="00873149"/>
    <w:rsid w:val="008D69BB"/>
    <w:rsid w:val="00957DCC"/>
    <w:rsid w:val="009B68FC"/>
    <w:rsid w:val="009F7EAB"/>
    <w:rsid w:val="00A101B9"/>
    <w:rsid w:val="00A47D61"/>
    <w:rsid w:val="00B00CB1"/>
    <w:rsid w:val="00B04CBB"/>
    <w:rsid w:val="00B300CE"/>
    <w:rsid w:val="00B77A3F"/>
    <w:rsid w:val="00BB5AFE"/>
    <w:rsid w:val="00BC08D4"/>
    <w:rsid w:val="00C329FE"/>
    <w:rsid w:val="00C64EFE"/>
    <w:rsid w:val="00C9157A"/>
    <w:rsid w:val="00CA327E"/>
    <w:rsid w:val="00FA3B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open-standards-principles/open-standards-principl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nationalarchives.gov.uk/doc/open-government-licence/version/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blowing-the-whistle-list-of-prescribed-people-and-bodies--2/whistleblowing-list-of-prescribed-people-and-bodi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370FE01-AC7F-4179-BA86-056B18127CBC}">
  <ds:schemaRefs>
    <ds:schemaRef ds:uri="http://schemas.microsoft.com/sharepoint/v3/contenttype/forms"/>
  </ds:schemaRefs>
</ds:datastoreItem>
</file>

<file path=customXml/itemProps3.xml><?xml version="1.0" encoding="utf-8"?>
<ds:datastoreItem xmlns:ds="http://schemas.openxmlformats.org/officeDocument/2006/customXml" ds:itemID="{AF4B9897-BD7A-4B41-9071-D257120C5432}">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customXml/itemProps4.xml><?xml version="1.0" encoding="utf-8"?>
<ds:datastoreItem xmlns:ds="http://schemas.openxmlformats.org/officeDocument/2006/customXml" ds:itemID="{A786E2BE-991F-48BB-8784-D09DA8117C67}"/>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54</TotalTime>
  <Pages>44</Pages>
  <Words>10380</Words>
  <Characters>59172</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Tim Lundy</cp:lastModifiedBy>
  <cp:revision>15</cp:revision>
  <dcterms:created xsi:type="dcterms:W3CDTF">2023-07-27T01:15:00Z</dcterms:created>
  <dcterms:modified xsi:type="dcterms:W3CDTF">2024-03-19T12:57:00Z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7,8,9</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a,b,c</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